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E2B55" w:rsidRPr="00340175" w:rsidRDefault="00583373" w:rsidP="00BC16CA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175">
        <w:rPr>
          <w:rFonts w:ascii="Times New Roman" w:eastAsia="Times New Roman" w:hAnsi="Times New Roman" w:cs="Times New Roman"/>
          <w:b/>
          <w:sz w:val="28"/>
          <w:szCs w:val="28"/>
        </w:rPr>
        <w:t>Проєкт</w:t>
      </w:r>
    </w:p>
    <w:p w14:paraId="00000002" w14:textId="77777777" w:rsidR="00CE2B55" w:rsidRPr="00340175" w:rsidRDefault="00583373" w:rsidP="00BC16C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175">
        <w:rPr>
          <w:rFonts w:ascii="Times New Roman" w:eastAsia="Times New Roman" w:hAnsi="Times New Roman" w:cs="Times New Roman"/>
          <w:b/>
          <w:sz w:val="28"/>
          <w:szCs w:val="28"/>
        </w:rPr>
        <w:t xml:space="preserve">РІШЕННЯ </w:t>
      </w:r>
    </w:p>
    <w:p w14:paraId="00000003" w14:textId="0E4D5F84" w:rsidR="00CE2B55" w:rsidRPr="00340175" w:rsidRDefault="00583373" w:rsidP="00BC16C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 w:rsidRPr="00340175">
        <w:rPr>
          <w:rFonts w:ascii="Times New Roman" w:eastAsia="Times New Roman" w:hAnsi="Times New Roman" w:cs="Times New Roman"/>
          <w:sz w:val="28"/>
          <w:szCs w:val="28"/>
        </w:rPr>
        <w:t>Вченої ради Харківського націона</w:t>
      </w:r>
      <w:r w:rsidR="00BC16CA">
        <w:rPr>
          <w:rFonts w:ascii="Times New Roman" w:eastAsia="Times New Roman" w:hAnsi="Times New Roman" w:cs="Times New Roman"/>
          <w:sz w:val="28"/>
          <w:szCs w:val="28"/>
        </w:rPr>
        <w:t xml:space="preserve">льного університету імені </w:t>
      </w:r>
      <w:r w:rsidR="00FD451B" w:rsidRPr="00340175">
        <w:rPr>
          <w:rFonts w:ascii="Times New Roman" w:eastAsia="Times New Roman" w:hAnsi="Times New Roman" w:cs="Times New Roman"/>
          <w:sz w:val="28"/>
          <w:szCs w:val="28"/>
        </w:rPr>
        <w:t>В.Н. </w:t>
      </w:r>
      <w:r w:rsidRPr="00340175">
        <w:rPr>
          <w:rFonts w:ascii="Times New Roman" w:eastAsia="Times New Roman" w:hAnsi="Times New Roman" w:cs="Times New Roman"/>
          <w:sz w:val="28"/>
          <w:szCs w:val="28"/>
        </w:rPr>
        <w:t>Каразіна з питання: «</w:t>
      </w:r>
      <w:r w:rsidR="00BC16CA" w:rsidRPr="00BC16CA">
        <w:rPr>
          <w:rFonts w:ascii="Times New Roman" w:eastAsia="Times New Roman" w:hAnsi="Times New Roman" w:cs="Times New Roman"/>
          <w:sz w:val="28"/>
          <w:szCs w:val="28"/>
        </w:rPr>
        <w:t>Про науково-дослідну роботу молодих вчених та здобувачів вищої освіти в університеті</w:t>
      </w:r>
      <w:r w:rsidRPr="0034017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14:paraId="02B93BFE" w14:textId="09334490" w:rsidR="00583A13" w:rsidRPr="00340175" w:rsidRDefault="00583A13" w:rsidP="00BC16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175">
        <w:rPr>
          <w:rFonts w:ascii="Times New Roman" w:eastAsia="Times New Roman" w:hAnsi="Times New Roman" w:cs="Times New Roman"/>
          <w:b/>
          <w:sz w:val="28"/>
          <w:szCs w:val="28"/>
        </w:rPr>
        <w:t xml:space="preserve">від </w:t>
      </w:r>
      <w:r w:rsidR="00BC16CA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="001D6E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C16CA">
        <w:rPr>
          <w:rFonts w:ascii="Times New Roman" w:eastAsia="Times New Roman" w:hAnsi="Times New Roman" w:cs="Times New Roman"/>
          <w:b/>
          <w:sz w:val="28"/>
          <w:szCs w:val="28"/>
        </w:rPr>
        <w:t>червня</w:t>
      </w:r>
      <w:r w:rsidR="000A5A79">
        <w:rPr>
          <w:rFonts w:ascii="Times New Roman" w:eastAsia="Times New Roman" w:hAnsi="Times New Roman" w:cs="Times New Roman"/>
          <w:b/>
          <w:sz w:val="28"/>
          <w:szCs w:val="28"/>
        </w:rPr>
        <w:t xml:space="preserve"> 2025</w:t>
      </w:r>
      <w:r w:rsidRPr="00340175">
        <w:rPr>
          <w:rFonts w:ascii="Times New Roman" w:eastAsia="Times New Roman" w:hAnsi="Times New Roman" w:cs="Times New Roman"/>
          <w:b/>
          <w:sz w:val="28"/>
          <w:szCs w:val="28"/>
        </w:rPr>
        <w:t xml:space="preserve"> року, протокол №</w:t>
      </w:r>
      <w:r w:rsidR="00BC16CA">
        <w:rPr>
          <w:rFonts w:ascii="Times New Roman" w:eastAsia="Times New Roman" w:hAnsi="Times New Roman" w:cs="Times New Roman"/>
          <w:b/>
          <w:sz w:val="28"/>
          <w:szCs w:val="28"/>
        </w:rPr>
        <w:t>17</w:t>
      </w:r>
    </w:p>
    <w:p w14:paraId="43505E2A" w14:textId="77777777" w:rsidR="00BC16CA" w:rsidRDefault="00BC16CA" w:rsidP="00BC16CA">
      <w:pPr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C0CAAB" w14:textId="77777777" w:rsidR="00BC16CA" w:rsidRDefault="00583373" w:rsidP="00BC16CA">
      <w:pPr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1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Заслухавши інформацію </w:t>
      </w:r>
      <w:r w:rsidR="000436B6" w:rsidRPr="00340175">
        <w:rPr>
          <w:rFonts w:ascii="Times New Roman" w:eastAsia="Times New Roman" w:hAnsi="Times New Roman" w:cs="Times New Roman"/>
          <w:sz w:val="28"/>
          <w:szCs w:val="28"/>
        </w:rPr>
        <w:t xml:space="preserve">проректора з науково-педагогічної роботи </w:t>
      </w:r>
      <w:r w:rsidR="000A5A79">
        <w:rPr>
          <w:rFonts w:ascii="Times New Roman" w:eastAsia="Times New Roman" w:hAnsi="Times New Roman" w:cs="Times New Roman"/>
          <w:sz w:val="28"/>
          <w:szCs w:val="28"/>
        </w:rPr>
        <w:t>Антона ПАНТЕЛЕЙМОНОВА</w:t>
      </w:r>
      <w:r w:rsidRPr="003401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</w:t>
      </w:r>
      <w:r w:rsidR="00340175" w:rsidRPr="00340175">
        <w:rPr>
          <w:rFonts w:ascii="Times New Roman" w:eastAsia="Times New Roman" w:hAnsi="Times New Roman" w:cs="Times New Roman"/>
          <w:color w:val="000000"/>
          <w:sz w:val="28"/>
          <w:szCs w:val="28"/>
        </w:rPr>
        <w:t>совно</w:t>
      </w:r>
      <w:r w:rsidR="000A5A79" w:rsidRPr="000A5A79">
        <w:t xml:space="preserve"> </w:t>
      </w:r>
      <w:r w:rsidR="00BC16CA" w:rsidRPr="00BC16CA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науково-дослідн</w:t>
      </w:r>
      <w:r w:rsidR="00BC16CA"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 w:rsidR="00BC16CA" w:rsidRPr="00BC1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</w:t>
      </w:r>
      <w:r w:rsidR="00BC16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C16CA" w:rsidRPr="00BC1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молодих вчених та здобувачів вищої освіти в університеті</w:t>
      </w:r>
      <w:r w:rsidRPr="0034017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40175">
        <w:rPr>
          <w:color w:val="000000"/>
          <w:sz w:val="28"/>
          <w:szCs w:val="28"/>
        </w:rPr>
        <w:t xml:space="preserve"> </w:t>
      </w:r>
      <w:r w:rsidRPr="003401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Вчена рада </w:t>
      </w:r>
      <w:r w:rsidR="00BC16CA" w:rsidRPr="00BC16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відзначає</w:t>
      </w:r>
      <w:r w:rsidR="00BC1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наступне. </w:t>
      </w:r>
    </w:p>
    <w:p w14:paraId="237633B9" w14:textId="3AD8F9C3" w:rsidR="00BC16CA" w:rsidRPr="00BC16CA" w:rsidRDefault="00BC16CA" w:rsidP="00BC16CA">
      <w:pPr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університеті ефективно функціонує </w:t>
      </w:r>
      <w:r w:rsidRPr="00BC16CA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Наукове товариство студентів, аспірантів, докторантів та молодих учених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C1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Упродовж 2024-2025 навчального року Наукове товариство продовжило активну діяльність, спрямовану на розвиток студентської науки, академічної комунікації та залучення молодих дослідників до наукового життя університету. Одним із головних напрямів роботи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товариства</w:t>
      </w:r>
      <w:r w:rsidRPr="00BC1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залишалося організаційне та змістовне забезпечення наукових заходів. Загалом за звітний період було проведено 51 конференцію університетського рівня, що охоплювали різноманітні галузі знань і сприяли міждисциплінарному діалогу серед студентів та молодих науковців.</w:t>
      </w:r>
    </w:p>
    <w:p w14:paraId="08AAF6C2" w14:textId="62437BC7" w:rsidR="00BC16CA" w:rsidRPr="00BC16CA" w:rsidRDefault="00BC16CA" w:rsidP="00BC16CA">
      <w:pPr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1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Особливу увагу було приділено інтеграції студентської науки у всеукраїнський та міжнародний науковий простір. Так, у межах діяльності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товариства</w:t>
      </w:r>
      <w:r w:rsidRPr="00BC1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відбулося 24 конференції всеукраїнського рівня, які об’єднали учасників із провідних закладів вищої освіти України. Також було організовано 32 конференції міжнародного рівня, що дозволило налагодити академічну комунікацію з молодими дослідниками з інших країн, обмінятися досвідом та розширити горизонти наукових пошуків.</w:t>
      </w:r>
    </w:p>
    <w:p w14:paraId="21C92CF2" w14:textId="51F07C8D" w:rsidR="00BC16CA" w:rsidRPr="00BC16CA" w:rsidRDefault="00BC16CA" w:rsidP="00BC16CA">
      <w:pPr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1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Окрім конференцій, важливою формою наукової активності стали круглі столи, </w:t>
      </w:r>
      <w:proofErr w:type="spellStart"/>
      <w:r w:rsidRPr="00BC16CA">
        <w:rPr>
          <w:rFonts w:ascii="Times New Roman" w:eastAsia="Times New Roman" w:hAnsi="Times New Roman" w:cs="Times New Roman"/>
          <w:color w:val="000000"/>
          <w:sz w:val="28"/>
          <w:szCs w:val="28"/>
        </w:rPr>
        <w:t>воркшопи</w:t>
      </w:r>
      <w:proofErr w:type="spellEnd"/>
      <w:r w:rsidRPr="00BC16CA">
        <w:rPr>
          <w:rFonts w:ascii="Times New Roman" w:eastAsia="Times New Roman" w:hAnsi="Times New Roman" w:cs="Times New Roman"/>
          <w:color w:val="000000"/>
          <w:sz w:val="28"/>
          <w:szCs w:val="28"/>
        </w:rPr>
        <w:t>, публічні лекції, панельні дискусії, науково-популярні заходи тощо. Протягом навчального року науковими товариствами факультетів та навчально-наукових інститутів було організовано близько 200 таких подій, що дозволило створити постійно діюче наукове середовище, сприятливе для формування дослідницьких навичок, обговорення актуальних проблем сучасної науки та налагодження міжособистісних і міждисциплінарних зв’язків.</w:t>
      </w:r>
    </w:p>
    <w:p w14:paraId="3DCE09CB" w14:textId="55285374" w:rsidR="00BC16CA" w:rsidRPr="00BC16CA" w:rsidRDefault="00BC16CA" w:rsidP="00BC16CA">
      <w:pPr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р</w:t>
      </w:r>
      <w:r w:rsidRPr="00BC16CA">
        <w:rPr>
          <w:rFonts w:ascii="Times New Roman" w:eastAsia="Times New Roman" w:hAnsi="Times New Roman" w:cs="Times New Roman"/>
          <w:color w:val="000000"/>
          <w:sz w:val="28"/>
          <w:szCs w:val="28"/>
        </w:rPr>
        <w:t>езультативніст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C1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наукової діяльності студентів та молодих учених свідчить і кількість опублікованих тез доповідей, яка за рік перевищила 1000 публікацій. Це є свідченням високої активності студентської наукової спільноти та її прагнення до публічного представлення результатів своїх досліджень.</w:t>
      </w:r>
    </w:p>
    <w:p w14:paraId="245A8E55" w14:textId="713BF918" w:rsidR="00BC16CA" w:rsidRPr="00BC16CA" w:rsidRDefault="00BC16CA" w:rsidP="00BC16CA">
      <w:pPr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1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Значну увагу товариство приділило розвитку системи наукових конкурсів. Зокрема, у конкурсі студентських наукових робіт, який </w:t>
      </w:r>
      <w:r w:rsidRPr="00BC16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проводився в університеті, взяли участь 123 студенти, які подали 114 наукових робіт. Це дало можливість виявити талановитих молодих дослідників, заохотити їх до поглибленої наукової роботи та створити платформу для подальшої академічної підтримки переможців і фіналістів.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Необхідно відзначити внесок</w:t>
      </w:r>
      <w:r w:rsidRPr="00BC1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Первинн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 w:rsidRPr="00BC1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профспілков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 w:rsidRPr="00BC1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організації студентів, аспірантів та докторантів університету, яка допомогла матеріально заохотити переможців конкурсу.</w:t>
      </w:r>
    </w:p>
    <w:p w14:paraId="00000006" w14:textId="411327B3" w:rsidR="00CE2B55" w:rsidRPr="009C16B4" w:rsidRDefault="00BC16CA" w:rsidP="00BC16CA">
      <w:pPr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C1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Також важливою подією у діяльності Наукового товариства у 2024-2025 навчальному році стало відзначення Дня науки. З цієї нагоди було підготовлено спеціальне відео-привітання, у якому взяли участь представники студентської наукової спільноти, молоді вчені, а також викладачі Каразінського університету. Цей </w:t>
      </w:r>
      <w:proofErr w:type="spellStart"/>
      <w:r w:rsidRPr="00BC16CA">
        <w:rPr>
          <w:rFonts w:ascii="Times New Roman" w:eastAsia="Times New Roman" w:hAnsi="Times New Roman" w:cs="Times New Roman"/>
          <w:color w:val="000000"/>
          <w:sz w:val="28"/>
          <w:szCs w:val="28"/>
        </w:rPr>
        <w:t>відеопроєкт</w:t>
      </w:r>
      <w:proofErr w:type="spellEnd"/>
      <w:r w:rsidRPr="00BC1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викликав значний інтерес у глядачів: кількість переглядів сягнула близько 2000, що свідчить про широку зацікавленість та підтримку ініціативи як серед учасників академічного середовища, так і поза його межами.</w:t>
      </w:r>
    </w:p>
    <w:p w14:paraId="120F5446" w14:textId="0253E6BD" w:rsidR="00BC16CA" w:rsidRPr="009C16B4" w:rsidRDefault="009C16B4" w:rsidP="00BC16CA">
      <w:pPr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вчені університету (НДІ астрономії, ФРБЕКС, ННІ ФТФ, ННІ хімії) є керівниками 4-х фундаментальних досліджень </w:t>
      </w:r>
      <w:r w:rsidRPr="009C16B4">
        <w:rPr>
          <w:rFonts w:ascii="Times New Roman" w:eastAsia="Times New Roman" w:hAnsi="Times New Roman" w:cs="Times New Roman"/>
          <w:color w:val="000000"/>
          <w:sz w:val="28"/>
          <w:szCs w:val="28"/>
        </w:rPr>
        <w:t>за рахунок коштів державного бюджету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загальним обсягом фінансування 12 млн грн.</w:t>
      </w:r>
    </w:p>
    <w:p w14:paraId="67C78081" w14:textId="77777777" w:rsidR="009C16B4" w:rsidRDefault="009C16B4" w:rsidP="00BC16CA">
      <w:pPr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394C98" w14:textId="5E8E3EE2" w:rsidR="00BC16CA" w:rsidRPr="00340175" w:rsidRDefault="00BC16CA" w:rsidP="00BC16CA">
      <w:pPr>
        <w:spacing w:line="240" w:lineRule="auto"/>
        <w:ind w:right="6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Вчена рада </w:t>
      </w:r>
      <w:r w:rsidRPr="00BC16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ухвалила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A8C0D9D" w14:textId="20BCF39A" w:rsidR="00074A45" w:rsidRDefault="00074A45" w:rsidP="009C16B4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5A79">
        <w:rPr>
          <w:rFonts w:ascii="Times New Roman" w:hAnsi="Times New Roman" w:cs="Times New Roman"/>
          <w:sz w:val="28"/>
          <w:szCs w:val="28"/>
        </w:rPr>
        <w:t xml:space="preserve">Вважати стан </w:t>
      </w:r>
      <w:r w:rsidR="009C16B4" w:rsidRPr="009C16B4">
        <w:rPr>
          <w:rFonts w:ascii="Times New Roman" w:hAnsi="Times New Roman" w:cs="Times New Roman"/>
          <w:sz w:val="28"/>
          <w:szCs w:val="28"/>
        </w:rPr>
        <w:t>н</w:t>
      </w:r>
      <w:bookmarkStart w:id="1" w:name="_GoBack"/>
      <w:bookmarkEnd w:id="1"/>
      <w:r w:rsidR="009C16B4" w:rsidRPr="009C16B4">
        <w:rPr>
          <w:rFonts w:ascii="Times New Roman" w:hAnsi="Times New Roman" w:cs="Times New Roman"/>
          <w:sz w:val="28"/>
          <w:szCs w:val="28"/>
        </w:rPr>
        <w:t>ауково-дослідн</w:t>
      </w:r>
      <w:r w:rsidR="009C16B4">
        <w:rPr>
          <w:rFonts w:ascii="Times New Roman" w:hAnsi="Times New Roman" w:cs="Times New Roman"/>
          <w:sz w:val="28"/>
          <w:szCs w:val="28"/>
        </w:rPr>
        <w:t>ої</w:t>
      </w:r>
      <w:r w:rsidR="009C16B4" w:rsidRPr="009C16B4">
        <w:rPr>
          <w:rFonts w:ascii="Times New Roman" w:hAnsi="Times New Roman" w:cs="Times New Roman"/>
          <w:sz w:val="28"/>
          <w:szCs w:val="28"/>
        </w:rPr>
        <w:t xml:space="preserve"> робот</w:t>
      </w:r>
      <w:r w:rsidR="009C16B4">
        <w:rPr>
          <w:rFonts w:ascii="Times New Roman" w:hAnsi="Times New Roman" w:cs="Times New Roman"/>
          <w:sz w:val="28"/>
          <w:szCs w:val="28"/>
        </w:rPr>
        <w:t>и</w:t>
      </w:r>
      <w:r w:rsidR="009C16B4" w:rsidRPr="009C16B4">
        <w:rPr>
          <w:rFonts w:ascii="Times New Roman" w:hAnsi="Times New Roman" w:cs="Times New Roman"/>
          <w:sz w:val="28"/>
          <w:szCs w:val="28"/>
        </w:rPr>
        <w:t xml:space="preserve"> молодих вчених та здобувачів вищої освіти в університеті</w:t>
      </w:r>
      <w:r w:rsidR="000A5A79" w:rsidRPr="000A5A79">
        <w:rPr>
          <w:rFonts w:ascii="Times New Roman" w:hAnsi="Times New Roman" w:cs="Times New Roman"/>
          <w:sz w:val="28"/>
          <w:szCs w:val="28"/>
        </w:rPr>
        <w:t xml:space="preserve"> задовільним</w:t>
      </w:r>
      <w:r w:rsidR="009C16B4">
        <w:rPr>
          <w:rFonts w:ascii="Times New Roman" w:hAnsi="Times New Roman" w:cs="Times New Roman"/>
          <w:sz w:val="28"/>
          <w:szCs w:val="28"/>
        </w:rPr>
        <w:t>.</w:t>
      </w:r>
    </w:p>
    <w:p w14:paraId="4783A77B" w14:textId="2BD6707D" w:rsidR="009C16B4" w:rsidRPr="000A5A79" w:rsidRDefault="00DC2AF2" w:rsidP="009C16B4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Якомога ширше залучати молодих вчених до виконання науково-дослідних робіт.</w:t>
      </w:r>
    </w:p>
    <w:p w14:paraId="0000000D" w14:textId="7CA1CB7C" w:rsidR="00CE2B55" w:rsidRPr="00340175" w:rsidRDefault="00583373" w:rsidP="00BC16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0175">
        <w:rPr>
          <w:rFonts w:ascii="Times New Roman" w:eastAsia="Times New Roman" w:hAnsi="Times New Roman" w:cs="Times New Roman"/>
          <w:i/>
          <w:sz w:val="28"/>
          <w:szCs w:val="28"/>
        </w:rPr>
        <w:t>Відповідальн</w:t>
      </w:r>
      <w:r w:rsidR="00DC2AF2">
        <w:rPr>
          <w:rFonts w:ascii="Times New Roman" w:eastAsia="Times New Roman" w:hAnsi="Times New Roman" w:cs="Times New Roman"/>
          <w:i/>
          <w:sz w:val="28"/>
          <w:szCs w:val="28"/>
        </w:rPr>
        <w:t>і</w:t>
      </w:r>
      <w:r w:rsidRPr="00340175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="00DC2AF2">
        <w:rPr>
          <w:rFonts w:ascii="Times New Roman" w:eastAsia="Times New Roman" w:hAnsi="Times New Roman" w:cs="Times New Roman"/>
          <w:i/>
          <w:sz w:val="28"/>
          <w:szCs w:val="28"/>
        </w:rPr>
        <w:t xml:space="preserve">декани факультетів, директори ННІ та НДІ, </w:t>
      </w:r>
      <w:r w:rsidR="000A5A79" w:rsidRPr="00340175">
        <w:rPr>
          <w:rFonts w:ascii="Times New Roman" w:eastAsia="Times New Roman" w:hAnsi="Times New Roman" w:cs="Times New Roman"/>
          <w:i/>
          <w:sz w:val="28"/>
          <w:szCs w:val="28"/>
        </w:rPr>
        <w:t>проректор з науково-педагогічної роботи</w:t>
      </w:r>
      <w:r w:rsidR="000A5A79">
        <w:rPr>
          <w:rFonts w:ascii="Times New Roman" w:eastAsia="Times New Roman" w:hAnsi="Times New Roman" w:cs="Times New Roman"/>
          <w:i/>
          <w:sz w:val="28"/>
          <w:szCs w:val="28"/>
        </w:rPr>
        <w:t xml:space="preserve"> Антон ПАНТЕЛЕЙМОНОВ. </w:t>
      </w:r>
    </w:p>
    <w:p w14:paraId="0000000E" w14:textId="468FA1F8" w:rsidR="00CE2B55" w:rsidRPr="00340175" w:rsidRDefault="00583373" w:rsidP="00BC16CA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0175">
        <w:rPr>
          <w:rFonts w:ascii="Times New Roman" w:eastAsia="Times New Roman" w:hAnsi="Times New Roman" w:cs="Times New Roman"/>
          <w:i/>
          <w:sz w:val="28"/>
          <w:szCs w:val="28"/>
        </w:rPr>
        <w:t xml:space="preserve">Термін виконання: до </w:t>
      </w:r>
      <w:r w:rsidR="000A5A79">
        <w:rPr>
          <w:rFonts w:ascii="Times New Roman" w:eastAsia="Times New Roman" w:hAnsi="Times New Roman" w:cs="Times New Roman"/>
          <w:i/>
          <w:sz w:val="28"/>
          <w:szCs w:val="28"/>
        </w:rPr>
        <w:t xml:space="preserve">31 </w:t>
      </w:r>
      <w:r w:rsidR="001D6E65">
        <w:rPr>
          <w:rFonts w:ascii="Times New Roman" w:eastAsia="Times New Roman" w:hAnsi="Times New Roman" w:cs="Times New Roman"/>
          <w:i/>
          <w:sz w:val="28"/>
          <w:szCs w:val="28"/>
        </w:rPr>
        <w:t>грудня</w:t>
      </w:r>
      <w:r w:rsidR="00FD451B" w:rsidRPr="0034017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436B6" w:rsidRPr="00340175">
        <w:rPr>
          <w:rFonts w:ascii="Times New Roman" w:eastAsia="Times New Roman" w:hAnsi="Times New Roman" w:cs="Times New Roman"/>
          <w:i/>
          <w:sz w:val="28"/>
          <w:szCs w:val="28"/>
        </w:rPr>
        <w:t>202</w:t>
      </w:r>
      <w:r w:rsidR="00074A45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="000436B6" w:rsidRPr="0034017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0175">
        <w:rPr>
          <w:rFonts w:ascii="Times New Roman" w:eastAsia="Times New Roman" w:hAnsi="Times New Roman" w:cs="Times New Roman"/>
          <w:i/>
          <w:sz w:val="28"/>
          <w:szCs w:val="28"/>
        </w:rPr>
        <w:t>року.</w:t>
      </w:r>
    </w:p>
    <w:p w14:paraId="0000000F" w14:textId="5C32331E" w:rsidR="00CE2B55" w:rsidRPr="00DC2AF2" w:rsidRDefault="00DC2AF2" w:rsidP="00DC2AF2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Продовжити активне висвітлення діяльності Наукового товариства </w:t>
      </w:r>
      <w:r w:rsidRPr="00BC16CA">
        <w:rPr>
          <w:color w:val="000000"/>
          <w:sz w:val="28"/>
          <w:szCs w:val="28"/>
        </w:rPr>
        <w:t>студентів, аспірантів, докторантів та молодих учених</w:t>
      </w:r>
      <w:r>
        <w:rPr>
          <w:color w:val="000000"/>
          <w:sz w:val="28"/>
          <w:szCs w:val="28"/>
        </w:rPr>
        <w:t xml:space="preserve"> в соціальних мережах та в офіційних університетських медіа.</w:t>
      </w:r>
    </w:p>
    <w:p w14:paraId="3216B086" w14:textId="7CE42A56" w:rsidR="00DC2AF2" w:rsidRPr="00DC2AF2" w:rsidRDefault="00DC2AF2" w:rsidP="00DC2AF2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2AF2">
        <w:rPr>
          <w:rFonts w:ascii="Times New Roman" w:eastAsia="Times New Roman" w:hAnsi="Times New Roman" w:cs="Times New Roman"/>
          <w:i/>
          <w:sz w:val="28"/>
          <w:szCs w:val="28"/>
        </w:rPr>
        <w:t xml:space="preserve">Відповідальні: </w:t>
      </w:r>
      <w:r w:rsidRPr="00DC2AF2">
        <w:rPr>
          <w:rFonts w:ascii="Times New Roman" w:hAnsi="Times New Roman" w:cs="Times New Roman"/>
          <w:i/>
          <w:sz w:val="28"/>
          <w:szCs w:val="28"/>
        </w:rPr>
        <w:t>голова Наукового товариства Руслан ЗАПОРОЖЧЕНКО.</w:t>
      </w:r>
    </w:p>
    <w:p w14:paraId="00000010" w14:textId="2B7ED322" w:rsidR="00CE2B55" w:rsidRPr="00DC2AF2" w:rsidRDefault="00DC2AF2" w:rsidP="00DC2AF2">
      <w:pPr>
        <w:pStyle w:val="a5"/>
        <w:jc w:val="both"/>
        <w:rPr>
          <w:sz w:val="28"/>
          <w:szCs w:val="28"/>
        </w:rPr>
      </w:pPr>
      <w:r w:rsidRPr="00DC2AF2">
        <w:rPr>
          <w:i/>
          <w:sz w:val="28"/>
          <w:szCs w:val="28"/>
        </w:rPr>
        <w:t>Термін виконання: до 31 грудня 2025 року.</w:t>
      </w:r>
    </w:p>
    <w:sectPr w:rsidR="00CE2B55" w:rsidRPr="00DC2AF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941B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567799"/>
    <w:multiLevelType w:val="multilevel"/>
    <w:tmpl w:val="D2F0D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2B6AEB"/>
    <w:multiLevelType w:val="hybridMultilevel"/>
    <w:tmpl w:val="2A7A020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9AB55FF"/>
    <w:multiLevelType w:val="hybridMultilevel"/>
    <w:tmpl w:val="F30CBF34"/>
    <w:lvl w:ilvl="0" w:tplc="472022B6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1" w:hanging="360"/>
      </w:pPr>
    </w:lvl>
    <w:lvl w:ilvl="2" w:tplc="0422001B" w:tentative="1">
      <w:start w:val="1"/>
      <w:numFmt w:val="lowerRoman"/>
      <w:lvlText w:val="%3."/>
      <w:lvlJc w:val="right"/>
      <w:pPr>
        <w:ind w:left="2511" w:hanging="180"/>
      </w:pPr>
    </w:lvl>
    <w:lvl w:ilvl="3" w:tplc="0422000F" w:tentative="1">
      <w:start w:val="1"/>
      <w:numFmt w:val="decimal"/>
      <w:lvlText w:val="%4."/>
      <w:lvlJc w:val="left"/>
      <w:pPr>
        <w:ind w:left="3231" w:hanging="360"/>
      </w:pPr>
    </w:lvl>
    <w:lvl w:ilvl="4" w:tplc="04220019" w:tentative="1">
      <w:start w:val="1"/>
      <w:numFmt w:val="lowerLetter"/>
      <w:lvlText w:val="%5."/>
      <w:lvlJc w:val="left"/>
      <w:pPr>
        <w:ind w:left="3951" w:hanging="360"/>
      </w:pPr>
    </w:lvl>
    <w:lvl w:ilvl="5" w:tplc="0422001B" w:tentative="1">
      <w:start w:val="1"/>
      <w:numFmt w:val="lowerRoman"/>
      <w:lvlText w:val="%6."/>
      <w:lvlJc w:val="right"/>
      <w:pPr>
        <w:ind w:left="4671" w:hanging="180"/>
      </w:pPr>
    </w:lvl>
    <w:lvl w:ilvl="6" w:tplc="0422000F" w:tentative="1">
      <w:start w:val="1"/>
      <w:numFmt w:val="decimal"/>
      <w:lvlText w:val="%7."/>
      <w:lvlJc w:val="left"/>
      <w:pPr>
        <w:ind w:left="5391" w:hanging="360"/>
      </w:pPr>
    </w:lvl>
    <w:lvl w:ilvl="7" w:tplc="04220019" w:tentative="1">
      <w:start w:val="1"/>
      <w:numFmt w:val="lowerLetter"/>
      <w:lvlText w:val="%8."/>
      <w:lvlJc w:val="left"/>
      <w:pPr>
        <w:ind w:left="6111" w:hanging="360"/>
      </w:pPr>
    </w:lvl>
    <w:lvl w:ilvl="8" w:tplc="0422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 w15:restartNumberingAfterBreak="0">
    <w:nsid w:val="7DB30550"/>
    <w:multiLevelType w:val="hybridMultilevel"/>
    <w:tmpl w:val="19AE84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55"/>
    <w:rsid w:val="000436B6"/>
    <w:rsid w:val="00074A45"/>
    <w:rsid w:val="000A5A79"/>
    <w:rsid w:val="0013554C"/>
    <w:rsid w:val="00170CCD"/>
    <w:rsid w:val="001D6E65"/>
    <w:rsid w:val="00340175"/>
    <w:rsid w:val="003C4186"/>
    <w:rsid w:val="00583373"/>
    <w:rsid w:val="00583A13"/>
    <w:rsid w:val="00585843"/>
    <w:rsid w:val="005A73EA"/>
    <w:rsid w:val="007872EE"/>
    <w:rsid w:val="008440DB"/>
    <w:rsid w:val="00975FFA"/>
    <w:rsid w:val="009C16B4"/>
    <w:rsid w:val="00A00DAD"/>
    <w:rsid w:val="00BC16CA"/>
    <w:rsid w:val="00C23E54"/>
    <w:rsid w:val="00C6591C"/>
    <w:rsid w:val="00CE2B55"/>
    <w:rsid w:val="00DC2AF2"/>
    <w:rsid w:val="00DC7961"/>
    <w:rsid w:val="00E275BD"/>
    <w:rsid w:val="00EA03EE"/>
    <w:rsid w:val="00F8466F"/>
    <w:rsid w:val="00FD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21C73"/>
  <w15:docId w15:val="{732C7DAB-D809-4E1D-82D6-3052CAF4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link w:val="a6"/>
    <w:uiPriority w:val="34"/>
    <w:qFormat/>
    <w:rsid w:val="0079782B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a6">
    <w:name w:val="Абзац списка Знак"/>
    <w:link w:val="a5"/>
    <w:uiPriority w:val="34"/>
    <w:locked/>
    <w:rsid w:val="0079782B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styleId="a7">
    <w:name w:val="Normal (Web)"/>
    <w:basedOn w:val="a"/>
    <w:uiPriority w:val="99"/>
    <w:unhideWhenUsed/>
    <w:rsid w:val="00B8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436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436B6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0A5A7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iIWrVVENpuxDNpymSWLJ+tHUng==">CgMxLjAaJwoBMBIiCiAIBCocCgtBQUFBOEtWMVhhNBAIGgtBQUFBOEtWMVhiQRoaCgExEhUKEwgEKg8KC0FBQUE4S1YxWGE0EAQaGgoBMhIVChMIBCoPCgtBQUFBOEtWMVhhNBAEItoECgtBQUFBOEtWMVhhNBKmBAoLQUFBQThLVjFYYTQSC0FBQUE4S1YxWGE0Gg0KCXRleHQvaHRtbBIAIg4KCnRleHQvcGxhaW4SACobIhUxMTcwMTIzNjAxMzg0MDA2NjkyMzcoADgAMPT1z7+zMTi2oNG/szFC1QIKC0FBQUE4S1YxWGJBEgtBQUFBOEtWMVhhNBpSCgl0ZXh0L2h0bWwSRdGB0LDQvNGWINC/0YDQvtCz0YDQsNC80Lgg0LTQviDRgNGW0YjQtdC90L3RjyDQvdC1INC00L7QtNCw0Y7RgtGM0YHRjyJTCgp0ZXh0L3BsYWluEkXRgdCw0LzRliDQv9GA0L7Qs9GA0LDQvNC4INC00L4g0YDRltGI0LXQvdC90Y8g0L3QtSDQtNC+0LTQsNGO0YLRjNGB0Y8qGyIVMTE3MDEyMzYwMTM4NDAwNjY5MjM3KAA4ADC2oNG/szE4tqDRv7MxWgx1dnd3N3g2a3JvdTJyAiAAeACaAQYIABAAGACqAUcSRdGB0LDQvNGWINC/0YDQvtCz0YDQsNC80Lgg0LTQviDRgNGW0YjQtdC90L3RjyDQvdC1INC00L7QtNCw0Y7RgtGM0YHRj0o0CiRhcHBsaWNhdGlvbi92bmQuZ29vZ2xlLWFwcHMuZG9jcy5tZHMaDMLX2uQBBiIECAEQAVoMOGs0M3ppOXgwcG5jcgIgAHgAggEUc3VnZ2VzdC50NTFucDBvbTlyMjWaAQYIABAAGAAY9PXPv7MxILag0b+zMUIUc3VnZ2VzdC50NTFucDBvbTlyMjUyCGguZ2pkZ3hzMgloLjFmb2I5dGU4AGorChRzdWdnZXN0LnQ1MW5wMG9tOXIyNRIT0JLRh9C10L3QsCDRgNCw0LTQsHIhMVlVNXBsOURDVnBTQXhza3YwNVNjZUhkcnJ4X2pLaWc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2728</Words>
  <Characters>1556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Користувач Windows</cp:lastModifiedBy>
  <cp:revision>2</cp:revision>
  <cp:lastPrinted>2024-04-24T10:13:00Z</cp:lastPrinted>
  <dcterms:created xsi:type="dcterms:W3CDTF">2025-06-24T14:28:00Z</dcterms:created>
  <dcterms:modified xsi:type="dcterms:W3CDTF">2025-06-24T14:28:00Z</dcterms:modified>
</cp:coreProperties>
</file>